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2"/>
        <w:gridCol w:w="6237"/>
      </w:tblGrid>
      <w:tr w:rsidR="00FE14DB" w14:paraId="4A33A7CE" w14:textId="77777777" w:rsidTr="00D448B6">
        <w:trPr>
          <w:trHeight w:val="1266"/>
        </w:trPr>
        <w:tc>
          <w:tcPr>
            <w:tcW w:w="4390" w:type="dxa"/>
          </w:tcPr>
          <w:p w14:paraId="3D00AD42" w14:textId="335D99AA" w:rsidR="00FE14DB" w:rsidRDefault="00FE14DB">
            <w:r>
              <w:rPr>
                <w:noProof/>
              </w:rPr>
              <w:drawing>
                <wp:inline distT="0" distB="0" distL="0" distR="0" wp14:anchorId="28DCE17B" wp14:editId="5C79CEE0">
                  <wp:extent cx="2652279" cy="781050"/>
                  <wp:effectExtent l="0" t="0" r="0" b="0"/>
                  <wp:docPr id="1" name="Picture 1"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Milton-Town-Council-Master-Logo---Landscape-(FIN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91806" cy="792690"/>
                          </a:xfrm>
                          <a:prstGeom prst="rect">
                            <a:avLst/>
                          </a:prstGeom>
                        </pic:spPr>
                      </pic:pic>
                    </a:graphicData>
                  </a:graphic>
                </wp:inline>
              </w:drawing>
            </w:r>
          </w:p>
        </w:tc>
        <w:tc>
          <w:tcPr>
            <w:tcW w:w="6237" w:type="dxa"/>
          </w:tcPr>
          <w:p w14:paraId="104F6416" w14:textId="77777777" w:rsidR="00FE14DB" w:rsidRDefault="00FE14DB"/>
          <w:p w14:paraId="3973D6AC" w14:textId="6F259591" w:rsidR="00FE14DB" w:rsidRDefault="00EA413E" w:rsidP="00FE14DB">
            <w:pPr>
              <w:jc w:val="center"/>
              <w:rPr>
                <w:rFonts w:ascii="Arial" w:hAnsi="Arial" w:cs="Arial"/>
                <w:b/>
                <w:bCs/>
              </w:rPr>
            </w:pPr>
            <w:r>
              <w:rPr>
                <w:rFonts w:ascii="Arial" w:hAnsi="Arial" w:cs="Arial"/>
                <w:b/>
                <w:bCs/>
              </w:rPr>
              <w:t>Neighbourhood Plan Review</w:t>
            </w:r>
            <w:r w:rsidR="00FE14DB" w:rsidRPr="00FA0A37">
              <w:rPr>
                <w:rFonts w:ascii="Arial" w:hAnsi="Arial" w:cs="Arial"/>
                <w:b/>
                <w:bCs/>
              </w:rPr>
              <w:t xml:space="preserve"> Working Party</w:t>
            </w:r>
          </w:p>
          <w:p w14:paraId="472E4716" w14:textId="77777777" w:rsidR="00F958B4" w:rsidRDefault="00F958B4" w:rsidP="00FE14DB">
            <w:pPr>
              <w:jc w:val="center"/>
              <w:rPr>
                <w:rFonts w:ascii="Arial" w:hAnsi="Arial" w:cs="Arial"/>
                <w:b/>
                <w:bCs/>
              </w:rPr>
            </w:pPr>
          </w:p>
          <w:p w14:paraId="5E039338" w14:textId="6E437119" w:rsidR="00F958B4" w:rsidRPr="00F958B4" w:rsidRDefault="00F958B4" w:rsidP="00FE14DB">
            <w:pPr>
              <w:jc w:val="center"/>
              <w:rPr>
                <w:rFonts w:ascii="Arial" w:hAnsi="Arial" w:cs="Arial"/>
                <w:sz w:val="20"/>
                <w:szCs w:val="20"/>
              </w:rPr>
            </w:pPr>
            <w:r w:rsidRPr="00F958B4">
              <w:rPr>
                <w:rFonts w:ascii="Arial" w:hAnsi="Arial" w:cs="Arial"/>
                <w:sz w:val="20"/>
                <w:szCs w:val="20"/>
              </w:rPr>
              <w:t xml:space="preserve">Notes of meeting held </w:t>
            </w:r>
            <w:r w:rsidR="00EA413E">
              <w:rPr>
                <w:rFonts w:ascii="Arial" w:hAnsi="Arial" w:cs="Arial"/>
                <w:sz w:val="20"/>
                <w:szCs w:val="20"/>
              </w:rPr>
              <w:t xml:space="preserve">Tuesday </w:t>
            </w:r>
            <w:r w:rsidR="004967D3">
              <w:rPr>
                <w:rFonts w:ascii="Arial" w:hAnsi="Arial" w:cs="Arial"/>
                <w:sz w:val="20"/>
                <w:szCs w:val="20"/>
              </w:rPr>
              <w:t>3</w:t>
            </w:r>
            <w:r w:rsidR="004967D3" w:rsidRPr="004967D3">
              <w:rPr>
                <w:rFonts w:ascii="Arial" w:hAnsi="Arial" w:cs="Arial"/>
                <w:sz w:val="20"/>
                <w:szCs w:val="20"/>
                <w:vertAlign w:val="superscript"/>
              </w:rPr>
              <w:t>rd</w:t>
            </w:r>
            <w:r w:rsidR="004967D3">
              <w:rPr>
                <w:rFonts w:ascii="Arial" w:hAnsi="Arial" w:cs="Arial"/>
                <w:sz w:val="20"/>
                <w:szCs w:val="20"/>
              </w:rPr>
              <w:t xml:space="preserve"> September</w:t>
            </w:r>
            <w:r w:rsidR="00382B3B">
              <w:rPr>
                <w:rFonts w:ascii="Arial" w:hAnsi="Arial" w:cs="Arial"/>
                <w:sz w:val="20"/>
                <w:szCs w:val="20"/>
              </w:rPr>
              <w:t xml:space="preserve"> 202</w:t>
            </w:r>
            <w:r w:rsidR="00EF420C">
              <w:rPr>
                <w:rFonts w:ascii="Arial" w:hAnsi="Arial" w:cs="Arial"/>
                <w:sz w:val="20"/>
                <w:szCs w:val="20"/>
              </w:rPr>
              <w:t>4</w:t>
            </w:r>
            <w:r w:rsidR="00382B3B">
              <w:rPr>
                <w:rFonts w:ascii="Arial" w:hAnsi="Arial" w:cs="Arial"/>
                <w:sz w:val="20"/>
                <w:szCs w:val="20"/>
              </w:rPr>
              <w:t xml:space="preserve"> at </w:t>
            </w:r>
            <w:r w:rsidR="004967D3">
              <w:rPr>
                <w:rFonts w:ascii="Arial" w:hAnsi="Arial" w:cs="Arial"/>
                <w:sz w:val="20"/>
                <w:szCs w:val="20"/>
              </w:rPr>
              <w:t>11</w:t>
            </w:r>
            <w:r w:rsidR="00EF420C">
              <w:rPr>
                <w:rFonts w:ascii="Arial" w:hAnsi="Arial" w:cs="Arial"/>
                <w:sz w:val="20"/>
                <w:szCs w:val="20"/>
              </w:rPr>
              <w:t xml:space="preserve"> </w:t>
            </w:r>
            <w:r w:rsidR="00382B3B">
              <w:rPr>
                <w:rFonts w:ascii="Arial" w:hAnsi="Arial" w:cs="Arial"/>
                <w:sz w:val="20"/>
                <w:szCs w:val="20"/>
              </w:rPr>
              <w:t>am.</w:t>
            </w:r>
          </w:p>
        </w:tc>
      </w:tr>
    </w:tbl>
    <w:p w14:paraId="59914C59" w14:textId="77777777" w:rsidR="00F958B4" w:rsidRDefault="00F958B4"/>
    <w:p w14:paraId="16878C51" w14:textId="77777777" w:rsidR="00EA413E" w:rsidRDefault="00F958B4" w:rsidP="00EA413E">
      <w:r>
        <w:t xml:space="preserve">Present – </w:t>
      </w:r>
      <w:r>
        <w:tab/>
      </w:r>
      <w:r w:rsidR="00EA413E">
        <w:t>Cllr S Clarke (Chair)</w:t>
      </w:r>
    </w:p>
    <w:p w14:paraId="7DE7333D" w14:textId="4BEE2F59" w:rsidR="00EA413E" w:rsidRDefault="00EA413E" w:rsidP="007B7F0E">
      <w:pPr>
        <w:ind w:left="720" w:firstLine="720"/>
      </w:pPr>
      <w:r>
        <w:t>Cllr</w:t>
      </w:r>
      <w:r w:rsidR="0004124C">
        <w:t>s</w:t>
      </w:r>
      <w:r>
        <w:t xml:space="preserve"> J Adams</w:t>
      </w:r>
      <w:r w:rsidR="0004124C">
        <w:t xml:space="preserve"> (JA)    </w:t>
      </w:r>
      <w:r>
        <w:t>G Blunden</w:t>
      </w:r>
      <w:r w:rsidR="0004124C">
        <w:t xml:space="preserve"> (GB)</w:t>
      </w:r>
      <w:r w:rsidR="004967D3">
        <w:t xml:space="preserve">    Cllr W Davies (WD)     A O’Sullivan (AS)</w:t>
      </w:r>
    </w:p>
    <w:p w14:paraId="721C5E62" w14:textId="5C0305F3" w:rsidR="004D70F2" w:rsidRDefault="004D70F2" w:rsidP="00EA413E">
      <w:pPr>
        <w:ind w:left="720" w:firstLine="720"/>
      </w:pPr>
      <w:r>
        <w:t>L Coney – Consultant at onehill homer</w:t>
      </w:r>
      <w:r w:rsidR="00806B73">
        <w:t xml:space="preserve"> (LC)</w:t>
      </w:r>
    </w:p>
    <w:p w14:paraId="29A5A12D" w14:textId="53D01E04" w:rsidR="00EA413E" w:rsidRDefault="00EA413E" w:rsidP="00EA413E">
      <w:pPr>
        <w:ind w:left="720" w:firstLine="720"/>
      </w:pPr>
      <w:r>
        <w:t>N Saunders – New Milton Heritage Society</w:t>
      </w:r>
      <w:r w:rsidR="007B7F0E">
        <w:t xml:space="preserve"> (NS)</w:t>
      </w:r>
    </w:p>
    <w:p w14:paraId="47E941DE" w14:textId="6BCDF63D" w:rsidR="00F958B4" w:rsidRDefault="004967D3" w:rsidP="00EA413E">
      <w:pPr>
        <w:ind w:left="720" w:firstLine="720"/>
      </w:pPr>
      <w:r>
        <w:t xml:space="preserve">G Jackson </w:t>
      </w:r>
      <w:r w:rsidR="00EA413E">
        <w:t xml:space="preserve"> – New Milton Residents Association</w:t>
      </w:r>
      <w:r w:rsidR="007B7F0E">
        <w:t xml:space="preserve"> (SL)</w:t>
      </w:r>
      <w:r w:rsidR="00EA413E">
        <w:t xml:space="preserve"> </w:t>
      </w:r>
    </w:p>
    <w:p w14:paraId="6FD966B9" w14:textId="1656157A" w:rsidR="00EA413E" w:rsidRDefault="00EA413E" w:rsidP="00EA413E">
      <w:pPr>
        <w:ind w:left="720" w:firstLine="720"/>
      </w:pPr>
      <w:r>
        <w:t xml:space="preserve">J Stamper – New Milton Residents Association </w:t>
      </w:r>
      <w:r w:rsidR="007B7F0E">
        <w:t>(JS)</w:t>
      </w:r>
    </w:p>
    <w:p w14:paraId="7CA55E0F" w14:textId="2A59539F" w:rsidR="00EA413E" w:rsidRDefault="00EA413E" w:rsidP="00EA413E">
      <w:pPr>
        <w:ind w:left="720" w:firstLine="720"/>
      </w:pPr>
      <w:r>
        <w:t>C Rabbito –Town Development Manager</w:t>
      </w:r>
      <w:r w:rsidR="007B7F0E">
        <w:t xml:space="preserve"> (CR)</w:t>
      </w:r>
    </w:p>
    <w:p w14:paraId="55A70923" w14:textId="77777777" w:rsidR="004967D3" w:rsidRDefault="00F958B4" w:rsidP="004967D3">
      <w:r>
        <w:t xml:space="preserve">Apologies - </w:t>
      </w:r>
      <w:r>
        <w:tab/>
      </w:r>
      <w:r w:rsidR="00EF420C">
        <w:t xml:space="preserve">Cllr </w:t>
      </w:r>
      <w:r w:rsidR="004967D3">
        <w:t xml:space="preserve">D Hawkins (DH) </w:t>
      </w:r>
      <w:r w:rsidR="004967D3">
        <w:tab/>
        <w:t>A Reid (AR)</w:t>
      </w:r>
      <w:r w:rsidR="004967D3">
        <w:tab/>
        <w:t xml:space="preserve">G Flexman – Town Clerk (GF)      </w:t>
      </w:r>
    </w:p>
    <w:p w14:paraId="57F8C4F3" w14:textId="77777777" w:rsidR="004967D3" w:rsidRDefault="00EF420C" w:rsidP="004967D3">
      <w:pPr>
        <w:ind w:left="720" w:firstLine="720"/>
      </w:pPr>
      <w:r>
        <w:t>T Elliott – Assistant Town Clerk (TE)</w:t>
      </w:r>
      <w:r w:rsidR="004967D3">
        <w:t xml:space="preserve">     S Larkin – New Milton Residents Association (SL) </w:t>
      </w:r>
    </w:p>
    <w:p w14:paraId="368A1E26" w14:textId="77777777" w:rsidR="005B4D2D" w:rsidRDefault="005B4D2D" w:rsidP="004967D3">
      <w:pPr>
        <w:ind w:left="720" w:firstLine="720"/>
      </w:pPr>
    </w:p>
    <w:p w14:paraId="5E85F3D4" w14:textId="77777777" w:rsidR="005B4D2D" w:rsidRDefault="005B4D2D" w:rsidP="004967D3">
      <w:pPr>
        <w:ind w:left="720" w:firstLine="720"/>
      </w:pPr>
    </w:p>
    <w:p w14:paraId="0280D333" w14:textId="6F808BBD" w:rsidR="005B4D2D" w:rsidRPr="005B4D2D" w:rsidRDefault="005B4D2D" w:rsidP="005B4D2D">
      <w:pPr>
        <w:pStyle w:val="ListParagraph"/>
      </w:pPr>
      <w:r w:rsidRPr="005B4D2D">
        <w:t xml:space="preserve">The Chairman began the meeting acknowledging </w:t>
      </w:r>
      <w:r w:rsidR="00B321F8">
        <w:t xml:space="preserve">Cllr </w:t>
      </w:r>
      <w:r w:rsidRPr="005B4D2D">
        <w:t>Keith</w:t>
      </w:r>
      <w:r w:rsidR="00B321F8">
        <w:t xml:space="preserve"> Craze</w:t>
      </w:r>
      <w:r w:rsidRPr="005B4D2D">
        <w:t xml:space="preserve"> contribution to the NP and his good work within the council. </w:t>
      </w:r>
    </w:p>
    <w:p w14:paraId="110FF88D" w14:textId="77777777" w:rsidR="005B4D2D" w:rsidRDefault="005B4D2D" w:rsidP="005B4D2D">
      <w:pPr>
        <w:pStyle w:val="ListParagraph"/>
        <w:rPr>
          <w:u w:val="single"/>
        </w:rPr>
      </w:pPr>
    </w:p>
    <w:p w14:paraId="337D0159" w14:textId="77777777" w:rsidR="005B4D2D" w:rsidRDefault="005B4D2D" w:rsidP="005B4D2D">
      <w:pPr>
        <w:pStyle w:val="ListParagraph"/>
        <w:rPr>
          <w:u w:val="single"/>
        </w:rPr>
      </w:pPr>
    </w:p>
    <w:p w14:paraId="65462658" w14:textId="53E7E674" w:rsidR="008E15CC" w:rsidRPr="00AE195E" w:rsidRDefault="005B4D2D" w:rsidP="00E91A7A">
      <w:pPr>
        <w:pStyle w:val="ListParagraph"/>
        <w:numPr>
          <w:ilvl w:val="0"/>
          <w:numId w:val="5"/>
        </w:numPr>
        <w:rPr>
          <w:b/>
          <w:bCs/>
          <w:u w:val="single"/>
        </w:rPr>
      </w:pPr>
      <w:r w:rsidRPr="00AE195E">
        <w:rPr>
          <w:b/>
          <w:bCs/>
          <w:u w:val="single"/>
        </w:rPr>
        <w:t>Consultants mapping of potential (brownfield) development sites (Appendix 1 and 2)</w:t>
      </w:r>
    </w:p>
    <w:p w14:paraId="286A78B0" w14:textId="40F368D9" w:rsidR="007B7F0E" w:rsidRDefault="00DB2072" w:rsidP="00B4646F">
      <w:pPr>
        <w:ind w:left="720"/>
      </w:pPr>
      <w:r>
        <w:t xml:space="preserve">The Chairman </w:t>
      </w:r>
      <w:r w:rsidR="007E7DB0">
        <w:t>referred to the draft brownfield site mapping report drawn by the consultancy team. An earlier meeting with NFDC helped gain a distinct view on the land owned by NFDC and allowed further sites to be reduced to produce this second draft version of the report. There is a need for a more creative approach to meeting the housing allocation need across the district. A supplementary list of the original sites omitted as a result</w:t>
      </w:r>
      <w:r w:rsidR="00E64311">
        <w:t xml:space="preserve"> </w:t>
      </w:r>
      <w:r w:rsidR="007E7DB0">
        <w:t>of the meeting with NFDC was read alongside the second draft brownfield report</w:t>
      </w:r>
      <w:r>
        <w:t xml:space="preserve"> </w:t>
      </w:r>
      <w:r w:rsidR="007E7DB0">
        <w:t xml:space="preserve">so the WP could see the progress of the report. </w:t>
      </w:r>
    </w:p>
    <w:p w14:paraId="06F76F31" w14:textId="409DFCD7" w:rsidR="007E7DB0" w:rsidRDefault="007E7DB0" w:rsidP="00B4646F">
      <w:pPr>
        <w:ind w:left="720"/>
      </w:pPr>
      <w:r>
        <w:t xml:space="preserve">WD asked if considering the Davis Field site opens questions of open space. The </w:t>
      </w:r>
      <w:r w:rsidR="00A170B6">
        <w:t>C</w:t>
      </w:r>
      <w:r>
        <w:t>hair said it does, but it is also about potential. We have only considered sites that have a potential. Greenspace will be policy decisions.</w:t>
      </w:r>
      <w:r w:rsidR="00A170B6">
        <w:t xml:space="preserve"> There is an economic dividing line about whether we go up or down in height, height potentially being an extra 3 storeys. We need to consider the towns character and retain our character and improve our character in areas where the character has been lost. </w:t>
      </w:r>
    </w:p>
    <w:p w14:paraId="76C4F0FC" w14:textId="3CC9EE26" w:rsidR="007E7DB0" w:rsidRDefault="007E7DB0" w:rsidP="007E7DB0">
      <w:pPr>
        <w:ind w:left="720"/>
      </w:pPr>
      <w:r>
        <w:t xml:space="preserve">After reviewing the draft report further sites were added for consideration – </w:t>
      </w:r>
    </w:p>
    <w:p w14:paraId="7F590CE8" w14:textId="2733F89B" w:rsidR="007E7DB0" w:rsidRDefault="007E7DB0" w:rsidP="007E7DB0">
      <w:pPr>
        <w:pStyle w:val="ListParagraph"/>
        <w:numPr>
          <w:ilvl w:val="0"/>
          <w:numId w:val="13"/>
        </w:numPr>
      </w:pPr>
      <w:r>
        <w:t xml:space="preserve">The Old Milton site opposite the Wheatsheaf to be considered as mixed housing and retail use. </w:t>
      </w:r>
    </w:p>
    <w:p w14:paraId="01654207" w14:textId="72E84B76" w:rsidR="007E7DB0" w:rsidRDefault="007E7DB0" w:rsidP="007E7DB0">
      <w:pPr>
        <w:pStyle w:val="ListParagraph"/>
        <w:numPr>
          <w:ilvl w:val="0"/>
          <w:numId w:val="13"/>
        </w:numPr>
      </w:pPr>
      <w:r>
        <w:t xml:space="preserve">The library and centre next to library. </w:t>
      </w:r>
    </w:p>
    <w:p w14:paraId="4CAEDE1C" w14:textId="05522155" w:rsidR="00B074F1" w:rsidRDefault="00B074F1" w:rsidP="007E7DB0">
      <w:pPr>
        <w:pStyle w:val="ListParagraph"/>
        <w:numPr>
          <w:ilvl w:val="0"/>
          <w:numId w:val="13"/>
        </w:numPr>
      </w:pPr>
      <w:r>
        <w:t>Osbourne Road car park.</w:t>
      </w:r>
    </w:p>
    <w:p w14:paraId="2AC5373B" w14:textId="0F04C7CF" w:rsidR="00B074F1" w:rsidRDefault="00B074F1" w:rsidP="007E7DB0">
      <w:pPr>
        <w:pStyle w:val="ListParagraph"/>
        <w:numPr>
          <w:ilvl w:val="0"/>
          <w:numId w:val="13"/>
        </w:numPr>
      </w:pPr>
      <w:r>
        <w:t>Wider area by the train station and Whitefield Road.</w:t>
      </w:r>
    </w:p>
    <w:p w14:paraId="760B93AA" w14:textId="7BAE9ADE" w:rsidR="007E7DB0" w:rsidRPr="007E7DB0" w:rsidRDefault="007E7DB0" w:rsidP="00B4646F">
      <w:pPr>
        <w:ind w:left="720"/>
        <w:rPr>
          <w:b/>
          <w:bCs/>
        </w:rPr>
      </w:pPr>
      <w:r w:rsidRPr="007E7DB0">
        <w:rPr>
          <w:b/>
          <w:bCs/>
        </w:rPr>
        <w:lastRenderedPageBreak/>
        <w:t xml:space="preserve">All agreed the addition of these sites. </w:t>
      </w:r>
    </w:p>
    <w:p w14:paraId="6373C1DB" w14:textId="7352D07E" w:rsidR="007E7DB0" w:rsidRDefault="007E7DB0" w:rsidP="00B4646F">
      <w:pPr>
        <w:ind w:left="720"/>
      </w:pPr>
      <w:r>
        <w:t xml:space="preserve">The consultant confirmed the purpose of keeping the original screen sites list is to show all sites considered in the report. </w:t>
      </w:r>
      <w:r w:rsidR="00A170B6">
        <w:t xml:space="preserve">The list will be further reduced when taken to public consultation. </w:t>
      </w:r>
      <w:r>
        <w:t xml:space="preserve">The next step is to identify landowners followed by a conversation with the group to then decide if we include a policy to say these are the sites we support. </w:t>
      </w:r>
    </w:p>
    <w:p w14:paraId="1C4D52B8" w14:textId="77777777" w:rsidR="00443CCC" w:rsidRDefault="00443CCC" w:rsidP="00B4646F">
      <w:pPr>
        <w:ind w:left="720"/>
      </w:pPr>
    </w:p>
    <w:p w14:paraId="068FBC8F" w14:textId="7C0DC94D" w:rsidR="00732636" w:rsidRPr="007E5F4C" w:rsidRDefault="00732636" w:rsidP="007E5F4C">
      <w:pPr>
        <w:pStyle w:val="ListParagraph"/>
        <w:numPr>
          <w:ilvl w:val="0"/>
          <w:numId w:val="5"/>
        </w:numPr>
        <w:rPr>
          <w:b/>
          <w:bCs/>
          <w:u w:val="single"/>
        </w:rPr>
      </w:pPr>
      <w:r w:rsidRPr="00732636">
        <w:rPr>
          <w:b/>
          <w:bCs/>
          <w:u w:val="single"/>
        </w:rPr>
        <w:t>The meeting then jumped to item 6 on the agenda (</w:t>
      </w:r>
      <w:r>
        <w:rPr>
          <w:b/>
          <w:bCs/>
          <w:u w:val="single"/>
        </w:rPr>
        <w:t>p</w:t>
      </w:r>
      <w:r w:rsidRPr="00732636">
        <w:rPr>
          <w:b/>
          <w:bCs/>
          <w:u w:val="single"/>
        </w:rPr>
        <w:t>olicy schedule of modifications)</w:t>
      </w:r>
      <w:r>
        <w:rPr>
          <w:b/>
          <w:bCs/>
          <w:u w:val="single"/>
        </w:rPr>
        <w:t>. Agenda i</w:t>
      </w:r>
      <w:r w:rsidRPr="00732636">
        <w:rPr>
          <w:b/>
          <w:bCs/>
          <w:u w:val="single"/>
        </w:rPr>
        <w:t>tem</w:t>
      </w:r>
      <w:r>
        <w:rPr>
          <w:b/>
          <w:bCs/>
          <w:u w:val="single"/>
        </w:rPr>
        <w:t>s</w:t>
      </w:r>
      <w:r w:rsidRPr="00732636">
        <w:rPr>
          <w:b/>
          <w:bCs/>
          <w:u w:val="single"/>
        </w:rPr>
        <w:t xml:space="preserve"> 2-5 were covered in the Policy Schedule of modifications</w:t>
      </w:r>
      <w:r>
        <w:rPr>
          <w:b/>
          <w:bCs/>
          <w:u w:val="single"/>
        </w:rPr>
        <w:t>.</w:t>
      </w:r>
    </w:p>
    <w:p w14:paraId="5E59D665" w14:textId="66635D16" w:rsidR="00732636" w:rsidRDefault="00732636" w:rsidP="00732636">
      <w:pPr>
        <w:ind w:left="720"/>
      </w:pPr>
      <w:r>
        <w:t xml:space="preserve">LC gave a brief reasoning behind the structure of the policy of modifications. There is a need to demonstrate existing wording against any new wording we use in the NP policies. </w:t>
      </w:r>
      <w:r w:rsidR="007E5F4C">
        <w:t xml:space="preserve">This allows us to show any policy wording changes we have agreed. </w:t>
      </w:r>
    </w:p>
    <w:p w14:paraId="7B9C2BDD" w14:textId="1BEF7A54" w:rsidR="007E5F4C" w:rsidRDefault="007E5F4C" w:rsidP="00732636">
      <w:pPr>
        <w:ind w:left="720"/>
        <w:rPr>
          <w:b/>
          <w:bCs/>
          <w:u w:val="single"/>
        </w:rPr>
      </w:pPr>
      <w:r w:rsidRPr="007E5F4C">
        <w:rPr>
          <w:b/>
          <w:bCs/>
          <w:u w:val="single"/>
        </w:rPr>
        <w:t>NM1 A Spatial Plan for New Milton</w:t>
      </w:r>
    </w:p>
    <w:p w14:paraId="4AD59620" w14:textId="08036783" w:rsidR="007E5F4C" w:rsidRPr="007E5F4C" w:rsidRDefault="007E5F4C" w:rsidP="00732636">
      <w:pPr>
        <w:ind w:left="720"/>
      </w:pPr>
      <w:r>
        <w:t>Unlikely to change</w:t>
      </w:r>
    </w:p>
    <w:p w14:paraId="7A08A623" w14:textId="5691A595" w:rsidR="007E5F4C" w:rsidRDefault="007E5F4C" w:rsidP="00732636">
      <w:pPr>
        <w:ind w:left="720"/>
        <w:rPr>
          <w:b/>
          <w:bCs/>
          <w:u w:val="single"/>
        </w:rPr>
      </w:pPr>
      <w:r w:rsidRPr="007E5F4C">
        <w:rPr>
          <w:b/>
          <w:bCs/>
          <w:u w:val="single"/>
        </w:rPr>
        <w:t>NM2 Diversifying Housing</w:t>
      </w:r>
    </w:p>
    <w:p w14:paraId="7343BF9E" w14:textId="091B0896" w:rsidR="007E5F4C" w:rsidRPr="007E5F4C" w:rsidRDefault="007E5F4C" w:rsidP="007E5F4C">
      <w:pPr>
        <w:ind w:left="720"/>
      </w:pPr>
      <w:r>
        <w:t>We have had early engagement work with NFDC, particularly on young housing. We haven’t opted for a technical housing needs assessment as it may not have been helpful. We have obtained figures from NFDC on housing age groups and now need to go back to NFDC to look at housing forecast and what building size needs are.</w:t>
      </w:r>
    </w:p>
    <w:p w14:paraId="53C6FB7E" w14:textId="77777777" w:rsidR="007E5F4C" w:rsidRDefault="007E5F4C" w:rsidP="007E5F4C">
      <w:pPr>
        <w:ind w:left="720"/>
        <w:rPr>
          <w:b/>
          <w:bCs/>
          <w:u w:val="single"/>
        </w:rPr>
      </w:pPr>
      <w:r w:rsidRPr="007E5F4C">
        <w:rPr>
          <w:b/>
          <w:bCs/>
          <w:u w:val="single"/>
        </w:rPr>
        <w:t>NM3 Land East of Caird Avenue</w:t>
      </w:r>
    </w:p>
    <w:p w14:paraId="44CE057D" w14:textId="7D135921" w:rsidR="007E5F4C" w:rsidRDefault="007E5F4C" w:rsidP="007E5F4C">
      <w:pPr>
        <w:ind w:left="720"/>
      </w:pPr>
      <w:r>
        <w:t xml:space="preserve">LC There is an ongoing discussion with the landowner on the use of the site but point b) needs to come out as it has been delivered now. LC queried if any or all of c) had been delivered in terms of green infrastructure. </w:t>
      </w:r>
    </w:p>
    <w:p w14:paraId="39EA01FF" w14:textId="7AF81AC2" w:rsidR="007E5F4C" w:rsidRPr="007E5F4C" w:rsidRDefault="007E5F4C" w:rsidP="007D5783">
      <w:pPr>
        <w:ind w:left="720"/>
      </w:pPr>
      <w:r>
        <w:t xml:space="preserve">The Chair confirmed that Ashington Park and Carrick Way has been enhanced. To review if  c), d), e) and f) have been achieved. </w:t>
      </w:r>
    </w:p>
    <w:p w14:paraId="1E6D60EB" w14:textId="77777777" w:rsidR="007E5F4C" w:rsidRPr="007E5F4C" w:rsidRDefault="007E5F4C" w:rsidP="007E5F4C">
      <w:pPr>
        <w:ind w:left="720"/>
        <w:rPr>
          <w:b/>
          <w:bCs/>
          <w:u w:val="single"/>
        </w:rPr>
      </w:pPr>
      <w:r w:rsidRPr="007E5F4C">
        <w:rPr>
          <w:b/>
          <w:bCs/>
          <w:u w:val="single"/>
        </w:rPr>
        <w:t>NM4 Design Quality</w:t>
      </w:r>
    </w:p>
    <w:p w14:paraId="0F3AA22A" w14:textId="4F3CD4E4" w:rsidR="007E5F4C" w:rsidRPr="007D5783" w:rsidRDefault="007D5783" w:rsidP="007E5F4C">
      <w:pPr>
        <w:ind w:left="720"/>
      </w:pPr>
      <w:r w:rsidRPr="007D5783">
        <w:t>Work in progress</w:t>
      </w:r>
    </w:p>
    <w:p w14:paraId="576BE8D8" w14:textId="77777777" w:rsidR="007E5F4C" w:rsidRDefault="007E5F4C" w:rsidP="007E5F4C">
      <w:pPr>
        <w:ind w:left="720"/>
        <w:rPr>
          <w:b/>
          <w:bCs/>
          <w:u w:val="single"/>
        </w:rPr>
      </w:pPr>
      <w:r w:rsidRPr="007E5F4C">
        <w:rPr>
          <w:b/>
          <w:bCs/>
          <w:u w:val="single"/>
        </w:rPr>
        <w:t xml:space="preserve">NM5 New Milton Town Centre Regeneration </w:t>
      </w:r>
    </w:p>
    <w:p w14:paraId="40C03DCD" w14:textId="78BF121F" w:rsidR="007D5783" w:rsidRPr="007D5783" w:rsidRDefault="007D5783" w:rsidP="007E5F4C">
      <w:pPr>
        <w:ind w:left="720"/>
      </w:pPr>
      <w:r>
        <w:t>Work in progress</w:t>
      </w:r>
    </w:p>
    <w:p w14:paraId="04A6B2DF" w14:textId="77777777" w:rsidR="007E5F4C" w:rsidRDefault="007E5F4C" w:rsidP="007E5F4C">
      <w:pPr>
        <w:spacing w:after="0"/>
        <w:ind w:left="720"/>
        <w:rPr>
          <w:b/>
          <w:bCs/>
          <w:u w:val="single"/>
        </w:rPr>
      </w:pPr>
      <w:r w:rsidRPr="007E5F4C">
        <w:rPr>
          <w:b/>
          <w:bCs/>
          <w:u w:val="single"/>
        </w:rPr>
        <w:t>NM6 Heritage and Information Centre</w:t>
      </w:r>
    </w:p>
    <w:p w14:paraId="5BEA3340" w14:textId="77777777" w:rsidR="007D5783" w:rsidRDefault="007D5783" w:rsidP="007E5F4C">
      <w:pPr>
        <w:spacing w:after="0"/>
        <w:ind w:left="720"/>
        <w:rPr>
          <w:b/>
          <w:bCs/>
          <w:u w:val="single"/>
        </w:rPr>
      </w:pPr>
    </w:p>
    <w:p w14:paraId="69E1D55B" w14:textId="2A4D7DBE" w:rsidR="007D5783" w:rsidRDefault="007D5783" w:rsidP="007E5F4C">
      <w:pPr>
        <w:spacing w:after="0"/>
        <w:ind w:left="720"/>
      </w:pPr>
      <w:r>
        <w:t>No change</w:t>
      </w:r>
    </w:p>
    <w:p w14:paraId="474C83AF" w14:textId="77777777" w:rsidR="007D5783" w:rsidRPr="007D5783" w:rsidRDefault="007D5783" w:rsidP="007E5F4C">
      <w:pPr>
        <w:spacing w:after="0"/>
        <w:ind w:left="720"/>
      </w:pPr>
    </w:p>
    <w:p w14:paraId="0A28C485" w14:textId="77777777" w:rsidR="007E5F4C" w:rsidRDefault="007E5F4C" w:rsidP="007E5F4C">
      <w:pPr>
        <w:spacing w:after="0"/>
        <w:ind w:left="720"/>
        <w:rPr>
          <w:b/>
          <w:bCs/>
          <w:u w:val="single"/>
        </w:rPr>
      </w:pPr>
      <w:r w:rsidRPr="007E5F4C">
        <w:rPr>
          <w:b/>
          <w:bCs/>
          <w:u w:val="single"/>
        </w:rPr>
        <w:t>NM7 Cultural &amp; Community Hub and War Memorial Recreation Ground</w:t>
      </w:r>
    </w:p>
    <w:p w14:paraId="7CCA5512" w14:textId="77777777" w:rsidR="007D5783" w:rsidRDefault="007D5783" w:rsidP="007E5F4C">
      <w:pPr>
        <w:spacing w:after="0"/>
        <w:ind w:left="720"/>
        <w:rPr>
          <w:b/>
          <w:bCs/>
          <w:u w:val="single"/>
        </w:rPr>
      </w:pPr>
    </w:p>
    <w:p w14:paraId="40E3A7F8" w14:textId="6E7F06F4" w:rsidR="007D5783" w:rsidRDefault="007D5783" w:rsidP="007D5783">
      <w:pPr>
        <w:spacing w:after="0"/>
        <w:ind w:left="720"/>
      </w:pPr>
      <w:r>
        <w:t>Remains the same.</w:t>
      </w:r>
    </w:p>
    <w:p w14:paraId="0532736F" w14:textId="77777777" w:rsidR="007D5783" w:rsidRDefault="007D5783" w:rsidP="007E5F4C">
      <w:pPr>
        <w:spacing w:after="0"/>
        <w:ind w:left="720"/>
      </w:pPr>
    </w:p>
    <w:p w14:paraId="5BD58529" w14:textId="77777777" w:rsidR="007D5783" w:rsidRDefault="007D5783" w:rsidP="007E5F4C">
      <w:pPr>
        <w:spacing w:after="0"/>
        <w:ind w:left="720"/>
      </w:pPr>
    </w:p>
    <w:p w14:paraId="3E2BF35B" w14:textId="77777777" w:rsidR="007D5783" w:rsidRDefault="007D5783" w:rsidP="007E5F4C">
      <w:pPr>
        <w:spacing w:after="0"/>
        <w:ind w:left="720"/>
      </w:pPr>
    </w:p>
    <w:p w14:paraId="6E9B68B4" w14:textId="77777777" w:rsidR="007D5783" w:rsidRPr="007D5783" w:rsidRDefault="007D5783" w:rsidP="007E5F4C">
      <w:pPr>
        <w:spacing w:after="0"/>
        <w:ind w:left="720"/>
      </w:pPr>
    </w:p>
    <w:p w14:paraId="49929AD8" w14:textId="5B0CB2AE" w:rsidR="007D5783" w:rsidRDefault="007E5F4C" w:rsidP="007D5783">
      <w:pPr>
        <w:ind w:left="720"/>
        <w:rPr>
          <w:b/>
          <w:bCs/>
          <w:u w:val="single"/>
        </w:rPr>
      </w:pPr>
      <w:r w:rsidRPr="007E5F4C">
        <w:rPr>
          <w:b/>
          <w:bCs/>
          <w:u w:val="single"/>
        </w:rPr>
        <w:lastRenderedPageBreak/>
        <w:t>NM8 Health &amp; Wellbeing centre</w:t>
      </w:r>
    </w:p>
    <w:p w14:paraId="15BFD497" w14:textId="4716D7DC" w:rsidR="007D5783" w:rsidRPr="007D5783" w:rsidRDefault="007D5783" w:rsidP="007E5F4C">
      <w:pPr>
        <w:ind w:left="720"/>
      </w:pPr>
      <w:r>
        <w:t>Leave NM8 and add a clause into NM3</w:t>
      </w:r>
    </w:p>
    <w:p w14:paraId="7B1DB130" w14:textId="3A438453" w:rsidR="007E5F4C" w:rsidRDefault="007E5F4C" w:rsidP="007E5F4C">
      <w:pPr>
        <w:ind w:left="720"/>
        <w:rPr>
          <w:b/>
          <w:bCs/>
          <w:u w:val="single"/>
        </w:rPr>
      </w:pPr>
      <w:r w:rsidRPr="007E5F4C">
        <w:rPr>
          <w:b/>
          <w:bCs/>
          <w:u w:val="single"/>
        </w:rPr>
        <w:t xml:space="preserve">NM9 Business and innovation Centre </w:t>
      </w:r>
    </w:p>
    <w:p w14:paraId="2F9B1970" w14:textId="28C40A4E" w:rsidR="007D5783" w:rsidRPr="007D5783" w:rsidRDefault="007D5783" w:rsidP="007E5F4C">
      <w:pPr>
        <w:ind w:left="720"/>
      </w:pPr>
      <w:r>
        <w:t>Relocate to caird Avenue and remove town centre wording.</w:t>
      </w:r>
    </w:p>
    <w:p w14:paraId="3D2382B0" w14:textId="4B383DFE" w:rsidR="007E5F4C" w:rsidRDefault="007E5F4C" w:rsidP="007E5F4C">
      <w:pPr>
        <w:ind w:left="720"/>
        <w:rPr>
          <w:b/>
          <w:bCs/>
          <w:u w:val="single"/>
        </w:rPr>
      </w:pPr>
      <w:r w:rsidRPr="007E5F4C">
        <w:rPr>
          <w:b/>
          <w:bCs/>
          <w:u w:val="single"/>
        </w:rPr>
        <w:t xml:space="preserve">NM10 Buildings of Local Heritage and Townscape Value </w:t>
      </w:r>
    </w:p>
    <w:p w14:paraId="45BFC5F5" w14:textId="08A490A7" w:rsidR="007D5783" w:rsidRDefault="007D5783" w:rsidP="007E5F4C">
      <w:pPr>
        <w:ind w:left="720"/>
      </w:pPr>
      <w:r>
        <w:t xml:space="preserve">Work in progress. </w:t>
      </w:r>
    </w:p>
    <w:p w14:paraId="4C0FBAC6" w14:textId="32EC87CA" w:rsidR="007D5783" w:rsidRDefault="007D5783" w:rsidP="007E5F4C">
      <w:pPr>
        <w:ind w:left="720"/>
      </w:pPr>
      <w:r>
        <w:t>The chair mentioned the list is being worked on to become an achievable number of buildings. The Local List will be passed across to NFDC and there is a question as to where we want areas of special character.</w:t>
      </w:r>
    </w:p>
    <w:p w14:paraId="536393F9" w14:textId="4ACB1AF6" w:rsidR="003D4C23" w:rsidRPr="003D4C23" w:rsidRDefault="003D4C23" w:rsidP="007E5F4C">
      <w:pPr>
        <w:ind w:left="720"/>
        <w:rPr>
          <w:b/>
          <w:bCs/>
          <w:u w:val="single"/>
        </w:rPr>
      </w:pPr>
      <w:r w:rsidRPr="003D4C23">
        <w:rPr>
          <w:b/>
          <w:bCs/>
          <w:u w:val="single"/>
        </w:rPr>
        <w:t xml:space="preserve">NM11 </w:t>
      </w:r>
      <w:r>
        <w:rPr>
          <w:b/>
          <w:bCs/>
          <w:u w:val="single"/>
        </w:rPr>
        <w:t>Mitigating Effects on European Sites</w:t>
      </w:r>
    </w:p>
    <w:p w14:paraId="3E3162AC" w14:textId="1AD27DC1" w:rsidR="003D4C23" w:rsidRPr="007D5783" w:rsidRDefault="003D4C23" w:rsidP="007E5F4C">
      <w:pPr>
        <w:ind w:left="720"/>
      </w:pPr>
      <w:r>
        <w:t>Retain</w:t>
      </w:r>
    </w:p>
    <w:p w14:paraId="16596458" w14:textId="77777777" w:rsidR="007E5F4C" w:rsidRDefault="007E5F4C" w:rsidP="007E5F4C">
      <w:pPr>
        <w:ind w:left="720"/>
        <w:rPr>
          <w:b/>
          <w:bCs/>
          <w:u w:val="single"/>
        </w:rPr>
      </w:pPr>
      <w:r w:rsidRPr="007E5F4C">
        <w:rPr>
          <w:b/>
          <w:bCs/>
          <w:u w:val="single"/>
        </w:rPr>
        <w:t>NM12 Walking and Cycling</w:t>
      </w:r>
    </w:p>
    <w:p w14:paraId="1BA5EC81" w14:textId="2A6351ED" w:rsidR="003D4C23" w:rsidRPr="003D4C23" w:rsidRDefault="003D4C23" w:rsidP="007E5F4C">
      <w:pPr>
        <w:ind w:left="720"/>
      </w:pPr>
      <w:r>
        <w:t xml:space="preserve">Walking and cycling will also link with tourism to link the town centre with the coast and forest. LC noted the LCWIP will be in supporting text. The Walking and cycling map will be amended and policy wording to include safety. </w:t>
      </w:r>
    </w:p>
    <w:p w14:paraId="3A43877A" w14:textId="47AF0AF2" w:rsidR="007E5F4C" w:rsidRPr="007E5F4C" w:rsidRDefault="007E5F4C" w:rsidP="007E5F4C">
      <w:pPr>
        <w:ind w:left="720"/>
        <w:rPr>
          <w:b/>
          <w:bCs/>
          <w:u w:val="single"/>
        </w:rPr>
      </w:pPr>
      <w:r w:rsidRPr="007E5F4C">
        <w:rPr>
          <w:b/>
          <w:bCs/>
          <w:u w:val="single"/>
        </w:rPr>
        <w:t xml:space="preserve">NM13 Barton on Sea </w:t>
      </w:r>
    </w:p>
    <w:p w14:paraId="4BB12810" w14:textId="33A53F48" w:rsidR="007E5F4C" w:rsidRPr="00AF5500" w:rsidRDefault="003D4C23" w:rsidP="007E5F4C">
      <w:pPr>
        <w:ind w:left="720"/>
      </w:pPr>
      <w:r w:rsidRPr="00AF5500">
        <w:t xml:space="preserve">Full regard to design code. </w:t>
      </w:r>
    </w:p>
    <w:p w14:paraId="3B1CD7AE" w14:textId="774CAEAE" w:rsidR="00AF5500" w:rsidRPr="00AF5500" w:rsidRDefault="00AF5500" w:rsidP="007E5F4C">
      <w:pPr>
        <w:ind w:left="720"/>
        <w:rPr>
          <w:b/>
          <w:bCs/>
          <w:u w:val="single"/>
        </w:rPr>
      </w:pPr>
      <w:r w:rsidRPr="00AF5500">
        <w:rPr>
          <w:b/>
          <w:bCs/>
          <w:u w:val="single"/>
        </w:rPr>
        <w:t xml:space="preserve">NM14 The Rural Areas of the National Park </w:t>
      </w:r>
    </w:p>
    <w:p w14:paraId="6DC4D00C" w14:textId="242DDF38" w:rsidR="00AF5500" w:rsidRDefault="00AF5500" w:rsidP="00AF5500">
      <w:pPr>
        <w:ind w:left="720"/>
      </w:pPr>
      <w:r w:rsidRPr="00AF5500">
        <w:t>Retained.</w:t>
      </w:r>
    </w:p>
    <w:p w14:paraId="4ADFA04E" w14:textId="5543C6C9" w:rsidR="00AF5500" w:rsidRDefault="00AF5500" w:rsidP="007E5F4C">
      <w:pPr>
        <w:ind w:left="720"/>
        <w:rPr>
          <w:b/>
          <w:bCs/>
          <w:u w:val="single"/>
        </w:rPr>
      </w:pPr>
      <w:r w:rsidRPr="00AF5500">
        <w:rPr>
          <w:b/>
          <w:bCs/>
          <w:u w:val="single"/>
        </w:rPr>
        <w:t>NM15 Employment</w:t>
      </w:r>
    </w:p>
    <w:p w14:paraId="3B650AC3" w14:textId="1CE46413" w:rsidR="00AF5500" w:rsidRPr="00AF5500" w:rsidRDefault="00AF5500" w:rsidP="007E5F4C">
      <w:pPr>
        <w:ind w:left="720"/>
      </w:pPr>
      <w:r>
        <w:t xml:space="preserve">Identify the industrial parks as employment sites and not brownfield, to include Double H Nurseries. </w:t>
      </w:r>
    </w:p>
    <w:p w14:paraId="5D819CF9" w14:textId="3AE837D2" w:rsidR="00AF5500" w:rsidRPr="00AF5500" w:rsidRDefault="00AF5500" w:rsidP="007E5F4C">
      <w:pPr>
        <w:ind w:left="720"/>
        <w:rPr>
          <w:b/>
          <w:bCs/>
          <w:u w:val="single"/>
        </w:rPr>
      </w:pPr>
      <w:r w:rsidRPr="00AF5500">
        <w:rPr>
          <w:b/>
          <w:bCs/>
          <w:u w:val="single"/>
        </w:rPr>
        <w:t>NM16 Tourism</w:t>
      </w:r>
    </w:p>
    <w:p w14:paraId="474BA7E9" w14:textId="379FAC45" w:rsidR="00AF5500" w:rsidRDefault="00AF5500" w:rsidP="007E5F4C">
      <w:pPr>
        <w:ind w:left="720"/>
      </w:pPr>
      <w:r>
        <w:t>Remain the same</w:t>
      </w:r>
    </w:p>
    <w:p w14:paraId="43EB4AEA" w14:textId="24F8D563" w:rsidR="00AF5500" w:rsidRPr="00AF5500" w:rsidRDefault="00AF5500" w:rsidP="007E5F4C">
      <w:pPr>
        <w:ind w:left="720"/>
        <w:rPr>
          <w:b/>
          <w:bCs/>
          <w:u w:val="single"/>
        </w:rPr>
      </w:pPr>
      <w:r w:rsidRPr="00AF5500">
        <w:rPr>
          <w:b/>
          <w:bCs/>
          <w:u w:val="single"/>
        </w:rPr>
        <w:t>NM17 Early Years Facilities and NM18 Education</w:t>
      </w:r>
    </w:p>
    <w:p w14:paraId="323A210B" w14:textId="5F233426" w:rsidR="00AF5500" w:rsidRDefault="00AF5500" w:rsidP="007E5F4C">
      <w:pPr>
        <w:ind w:left="720"/>
      </w:pPr>
      <w:r>
        <w:t xml:space="preserve">Remain the same. CR has produced evidence base. </w:t>
      </w:r>
    </w:p>
    <w:p w14:paraId="4810F19F" w14:textId="2AB8B86C" w:rsidR="00696EC2" w:rsidRPr="00696EC2" w:rsidRDefault="00696EC2" w:rsidP="007E5F4C">
      <w:pPr>
        <w:ind w:left="720"/>
        <w:rPr>
          <w:b/>
          <w:bCs/>
          <w:u w:val="single"/>
        </w:rPr>
      </w:pPr>
      <w:r w:rsidRPr="00696EC2">
        <w:rPr>
          <w:b/>
          <w:bCs/>
          <w:u w:val="single"/>
        </w:rPr>
        <w:t>NM19 Connecting the Town</w:t>
      </w:r>
    </w:p>
    <w:p w14:paraId="665AD85C" w14:textId="342C56BA" w:rsidR="007E5F4C" w:rsidRDefault="00696EC2" w:rsidP="00461F23">
      <w:pPr>
        <w:ind w:left="720"/>
      </w:pPr>
      <w:r>
        <w:t>Retained</w:t>
      </w:r>
    </w:p>
    <w:p w14:paraId="5EE7FD1E" w14:textId="77777777" w:rsidR="00461F23" w:rsidRPr="00461F23" w:rsidRDefault="00461F23" w:rsidP="00461F23">
      <w:pPr>
        <w:ind w:left="720"/>
      </w:pPr>
    </w:p>
    <w:p w14:paraId="462B2680" w14:textId="77777777" w:rsidR="007E5F4C" w:rsidRPr="00461F23" w:rsidRDefault="007E5F4C" w:rsidP="007E5F4C">
      <w:pPr>
        <w:ind w:firstLine="720"/>
        <w:rPr>
          <w:b/>
          <w:bCs/>
        </w:rPr>
      </w:pPr>
      <w:r w:rsidRPr="00461F23">
        <w:rPr>
          <w:b/>
          <w:bCs/>
        </w:rPr>
        <w:t>Potential New Policies</w:t>
      </w:r>
    </w:p>
    <w:p w14:paraId="040C7715" w14:textId="5BEA8976" w:rsidR="007E5F4C" w:rsidRDefault="007E5F4C" w:rsidP="007E5F4C">
      <w:pPr>
        <w:ind w:left="720"/>
        <w:rPr>
          <w:b/>
          <w:bCs/>
          <w:u w:val="single"/>
        </w:rPr>
      </w:pPr>
      <w:r w:rsidRPr="00461F23">
        <w:rPr>
          <w:b/>
          <w:bCs/>
          <w:u w:val="single"/>
        </w:rPr>
        <w:t xml:space="preserve">NM20 </w:t>
      </w:r>
      <w:r w:rsidR="00461F23">
        <w:rPr>
          <w:b/>
          <w:bCs/>
          <w:u w:val="single"/>
        </w:rPr>
        <w:t>Biodiversity Net Gain</w:t>
      </w:r>
    </w:p>
    <w:p w14:paraId="0A5780C9" w14:textId="6161E465" w:rsidR="00461F23" w:rsidRPr="00461F23" w:rsidRDefault="00461F23" w:rsidP="007E5F4C">
      <w:pPr>
        <w:ind w:left="720"/>
      </w:pPr>
      <w:r w:rsidRPr="00461F23">
        <w:t xml:space="preserve">The policy will give an opportunity to </w:t>
      </w:r>
      <w:r>
        <w:t>include</w:t>
      </w:r>
      <w:r w:rsidRPr="00461F23">
        <w:t xml:space="preserve"> urban greening, canopy cover etc. </w:t>
      </w:r>
    </w:p>
    <w:p w14:paraId="0F758A10" w14:textId="77777777" w:rsidR="00762352" w:rsidRDefault="007E5F4C" w:rsidP="007E5F4C">
      <w:pPr>
        <w:ind w:left="720"/>
      </w:pPr>
      <w:r w:rsidRPr="00762352">
        <w:rPr>
          <w:b/>
          <w:bCs/>
          <w:u w:val="single"/>
        </w:rPr>
        <w:t>NM21 Green Energy</w:t>
      </w:r>
      <w:r w:rsidRPr="00762352">
        <w:t xml:space="preserve"> </w:t>
      </w:r>
    </w:p>
    <w:p w14:paraId="759BC23E" w14:textId="1A11F2D0" w:rsidR="007E5F4C" w:rsidRPr="00732636" w:rsidRDefault="00762352" w:rsidP="007E5F4C">
      <w:pPr>
        <w:ind w:left="720"/>
        <w:rPr>
          <w:color w:val="FF0000"/>
        </w:rPr>
      </w:pPr>
      <w:r>
        <w:lastRenderedPageBreak/>
        <w:t xml:space="preserve">Retain - </w:t>
      </w:r>
      <w:r w:rsidR="007E5F4C" w:rsidRPr="00762352">
        <w:t xml:space="preserve">is more about a desire for a renewable district-wide greening policy to generate electricity, providing EV charging points and solar panel use. </w:t>
      </w:r>
    </w:p>
    <w:p w14:paraId="098B8DE3" w14:textId="77777777" w:rsidR="00762352" w:rsidRDefault="007E5F4C" w:rsidP="007E5F4C">
      <w:pPr>
        <w:ind w:left="720"/>
      </w:pPr>
      <w:r w:rsidRPr="00762352">
        <w:rPr>
          <w:b/>
          <w:bCs/>
          <w:u w:val="single"/>
        </w:rPr>
        <w:t>NM22 Ne</w:t>
      </w:r>
      <w:r w:rsidR="00762352" w:rsidRPr="00762352">
        <w:rPr>
          <w:b/>
          <w:bCs/>
          <w:u w:val="single"/>
        </w:rPr>
        <w:t>t</w:t>
      </w:r>
      <w:r w:rsidRPr="00762352">
        <w:rPr>
          <w:b/>
          <w:bCs/>
          <w:u w:val="single"/>
        </w:rPr>
        <w:t xml:space="preserve"> Zero Buildings</w:t>
      </w:r>
      <w:r w:rsidRPr="00762352">
        <w:t xml:space="preserve"> </w:t>
      </w:r>
    </w:p>
    <w:p w14:paraId="7377A840" w14:textId="3C7BC889" w:rsidR="007E5F4C" w:rsidRPr="00762352" w:rsidRDefault="00762352" w:rsidP="007E5F4C">
      <w:pPr>
        <w:ind w:left="720"/>
      </w:pPr>
      <w:r>
        <w:t>Is</w:t>
      </w:r>
      <w:r w:rsidR="007E5F4C" w:rsidRPr="00762352">
        <w:t xml:space="preserve"> about addressing the performance gap policy on future home builds and green policies to address the performance gap. </w:t>
      </w:r>
    </w:p>
    <w:p w14:paraId="187F4910" w14:textId="77777777" w:rsidR="00762352" w:rsidRPr="00762352" w:rsidRDefault="007E5F4C" w:rsidP="00762352">
      <w:pPr>
        <w:ind w:left="720"/>
        <w:rPr>
          <w:b/>
          <w:bCs/>
          <w:u w:val="single"/>
        </w:rPr>
      </w:pPr>
      <w:r w:rsidRPr="00762352">
        <w:rPr>
          <w:b/>
          <w:bCs/>
          <w:u w:val="single"/>
        </w:rPr>
        <w:t xml:space="preserve">NM23 Local Shops </w:t>
      </w:r>
    </w:p>
    <w:p w14:paraId="0F859FF2" w14:textId="256D172D" w:rsidR="007E5F4C" w:rsidRDefault="00762352" w:rsidP="00762352">
      <w:pPr>
        <w:ind w:left="720"/>
      </w:pPr>
      <w:r w:rsidRPr="00762352">
        <w:t>C</w:t>
      </w:r>
      <w:r w:rsidR="007E5F4C" w:rsidRPr="00762352">
        <w:t xml:space="preserve">ataloguing </w:t>
      </w:r>
      <w:r w:rsidRPr="00762352">
        <w:t>parades and shops</w:t>
      </w:r>
      <w:r w:rsidR="007E5F4C" w:rsidRPr="00762352">
        <w:t xml:space="preserve"> in outlying areas, such as the Ashley Parade, Bashley &amp; Dane Stream shops, Old Milton Road, the Pantiles and Old Milton Green shopping precinct, Beechwood Stores area and Ferndale Road stores and the new Co-op at Westcliffe Buildings in Barton.</w:t>
      </w:r>
    </w:p>
    <w:p w14:paraId="6BA7152C" w14:textId="47D31E76" w:rsidR="00762352" w:rsidRPr="00762352" w:rsidRDefault="00762352" w:rsidP="00762352">
      <w:pPr>
        <w:ind w:left="720"/>
        <w:rPr>
          <w:b/>
          <w:bCs/>
          <w:u w:val="single"/>
        </w:rPr>
      </w:pPr>
      <w:r w:rsidRPr="00762352">
        <w:rPr>
          <w:b/>
          <w:bCs/>
          <w:u w:val="single"/>
        </w:rPr>
        <w:t>NM24 Brownfield sites</w:t>
      </w:r>
    </w:p>
    <w:p w14:paraId="082EA2F7" w14:textId="46DD4633" w:rsidR="00762352" w:rsidRDefault="00762352" w:rsidP="00762352">
      <w:pPr>
        <w:ind w:left="720"/>
      </w:pPr>
      <w:r>
        <w:t xml:space="preserve">Addressed in meeting. </w:t>
      </w:r>
    </w:p>
    <w:p w14:paraId="315A2D2B" w14:textId="77777777" w:rsidR="00AE195E" w:rsidRDefault="00AE195E" w:rsidP="00762352">
      <w:pPr>
        <w:ind w:left="720"/>
      </w:pPr>
    </w:p>
    <w:p w14:paraId="3506CC01" w14:textId="58EC9A30" w:rsidR="00AE195E" w:rsidRDefault="00AE195E" w:rsidP="00AE195E">
      <w:pPr>
        <w:pStyle w:val="ListParagraph"/>
        <w:numPr>
          <w:ilvl w:val="0"/>
          <w:numId w:val="5"/>
        </w:numPr>
        <w:rPr>
          <w:b/>
          <w:bCs/>
          <w:u w:val="single"/>
        </w:rPr>
      </w:pPr>
      <w:r w:rsidRPr="00AE195E">
        <w:rPr>
          <w:b/>
          <w:bCs/>
          <w:u w:val="single"/>
        </w:rPr>
        <w:t>Strategic environmental / habitat assessment</w:t>
      </w:r>
    </w:p>
    <w:p w14:paraId="22907853" w14:textId="77777777" w:rsidR="00AE195E" w:rsidRDefault="00AE195E" w:rsidP="00AE195E">
      <w:pPr>
        <w:pStyle w:val="ListParagraph"/>
        <w:rPr>
          <w:b/>
          <w:bCs/>
          <w:u w:val="single"/>
        </w:rPr>
      </w:pPr>
    </w:p>
    <w:p w14:paraId="07EE2292" w14:textId="353A7A14" w:rsidR="00AE195E" w:rsidRPr="00AE195E" w:rsidRDefault="00AE195E" w:rsidP="00AE195E">
      <w:pPr>
        <w:pStyle w:val="ListParagraph"/>
      </w:pPr>
      <w:r w:rsidRPr="00AE195E">
        <w:t>Con</w:t>
      </w:r>
      <w:r>
        <w:t xml:space="preserve">sultant </w:t>
      </w:r>
      <w:r w:rsidRPr="00AE195E">
        <w:t>will send a letter to NFDC</w:t>
      </w:r>
      <w:r>
        <w:t>.</w:t>
      </w:r>
      <w:r w:rsidRPr="00AE195E">
        <w:t xml:space="preserve"> </w:t>
      </w:r>
    </w:p>
    <w:p w14:paraId="34465F5E" w14:textId="77777777" w:rsidR="00762352" w:rsidRDefault="00762352" w:rsidP="007E5F4C">
      <w:pPr>
        <w:ind w:left="720"/>
        <w:rPr>
          <w:color w:val="FF0000"/>
        </w:rPr>
      </w:pPr>
    </w:p>
    <w:p w14:paraId="22E233B8" w14:textId="26BD8921" w:rsidR="003811F8" w:rsidRDefault="008754ED" w:rsidP="008754ED">
      <w:pPr>
        <w:pStyle w:val="ListParagraph"/>
        <w:numPr>
          <w:ilvl w:val="0"/>
          <w:numId w:val="5"/>
        </w:numPr>
        <w:rPr>
          <w:b/>
          <w:bCs/>
          <w:u w:val="single"/>
        </w:rPr>
      </w:pPr>
      <w:r w:rsidRPr="008754ED">
        <w:rPr>
          <w:b/>
          <w:bCs/>
          <w:u w:val="single"/>
        </w:rPr>
        <w:t>Next Steps</w:t>
      </w:r>
    </w:p>
    <w:p w14:paraId="2A51E8DA" w14:textId="1D5303D3" w:rsidR="00D15E35" w:rsidRPr="00D15E35" w:rsidRDefault="00D15E35" w:rsidP="008754ED">
      <w:pPr>
        <w:ind w:left="720"/>
      </w:pPr>
      <w:r w:rsidRPr="00D15E35">
        <w:t xml:space="preserve">Will be public informal engagement planned for last two weeks of November 2024. </w:t>
      </w:r>
    </w:p>
    <w:p w14:paraId="2AF9039D" w14:textId="77777777" w:rsidR="008754ED" w:rsidRPr="008754ED" w:rsidRDefault="008754ED" w:rsidP="00D15E35">
      <w:pPr>
        <w:rPr>
          <w:b/>
          <w:bCs/>
          <w:u w:val="single"/>
        </w:rPr>
      </w:pPr>
    </w:p>
    <w:p w14:paraId="40148D3B" w14:textId="2C41DFE0" w:rsidR="00751559" w:rsidRPr="00AE195E" w:rsidRDefault="008E15CC" w:rsidP="0041682F">
      <w:pPr>
        <w:ind w:left="360" w:firstLine="360"/>
      </w:pPr>
      <w:r w:rsidRPr="00AE195E">
        <w:rPr>
          <w:b/>
          <w:bCs/>
        </w:rPr>
        <w:t>Date of next meeting</w:t>
      </w:r>
      <w:r w:rsidRPr="00AE195E">
        <w:t xml:space="preserve"> – </w:t>
      </w:r>
      <w:r w:rsidR="00AE195E" w:rsidRPr="00AE195E">
        <w:t>15</w:t>
      </w:r>
      <w:r w:rsidR="00AE195E" w:rsidRPr="00AE195E">
        <w:rPr>
          <w:vertAlign w:val="superscript"/>
        </w:rPr>
        <w:t>th</w:t>
      </w:r>
      <w:r w:rsidR="00AE195E" w:rsidRPr="00AE195E">
        <w:t xml:space="preserve"> October 2024 at 11am</w:t>
      </w:r>
      <w:r w:rsidR="00113FAF" w:rsidRPr="00AE195E">
        <w:t xml:space="preserve"> </w:t>
      </w:r>
    </w:p>
    <w:p w14:paraId="3CD94E11" w14:textId="47E206E0" w:rsidR="00820A04" w:rsidRPr="00AE195E" w:rsidRDefault="00820A04" w:rsidP="0041682F">
      <w:pPr>
        <w:ind w:left="360" w:firstLine="360"/>
        <w:rPr>
          <w:i/>
          <w:iCs/>
        </w:rPr>
      </w:pPr>
      <w:r w:rsidRPr="00AE195E">
        <w:t xml:space="preserve">Meeting closed </w:t>
      </w:r>
      <w:r w:rsidR="003A5A31" w:rsidRPr="00AE195E">
        <w:t>13.</w:t>
      </w:r>
      <w:r w:rsidR="00AE195E" w:rsidRPr="00AE195E">
        <w:t>15</w:t>
      </w:r>
      <w:r w:rsidR="008A2F20" w:rsidRPr="00AE195E">
        <w:t>pm</w:t>
      </w:r>
    </w:p>
    <w:sectPr w:rsidR="00820A04" w:rsidRPr="00AE195E" w:rsidSect="007D478B">
      <w:headerReference w:type="default" r:id="rId8"/>
      <w:pgSz w:w="11906" w:h="16838"/>
      <w:pgMar w:top="1134" w:right="567" w:bottom="567" w:left="567" w:header="39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7F5DE" w14:textId="77777777" w:rsidR="00900E6D" w:rsidRDefault="00900E6D" w:rsidP="00FA0A37">
      <w:pPr>
        <w:spacing w:after="0" w:line="240" w:lineRule="auto"/>
      </w:pPr>
      <w:r>
        <w:separator/>
      </w:r>
    </w:p>
  </w:endnote>
  <w:endnote w:type="continuationSeparator" w:id="0">
    <w:p w14:paraId="1497BA5C" w14:textId="77777777" w:rsidR="00900E6D" w:rsidRDefault="00900E6D" w:rsidP="00FA0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B63B5" w14:textId="77777777" w:rsidR="00900E6D" w:rsidRDefault="00900E6D" w:rsidP="00FA0A37">
      <w:pPr>
        <w:spacing w:after="0" w:line="240" w:lineRule="auto"/>
      </w:pPr>
      <w:r>
        <w:separator/>
      </w:r>
    </w:p>
  </w:footnote>
  <w:footnote w:type="continuationSeparator" w:id="0">
    <w:p w14:paraId="32BE443C" w14:textId="77777777" w:rsidR="00900E6D" w:rsidRDefault="00900E6D" w:rsidP="00FA0A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97BDD" w14:textId="401F2906" w:rsidR="0012364A" w:rsidRDefault="001236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F6E06"/>
    <w:multiLevelType w:val="hybridMultilevel"/>
    <w:tmpl w:val="55ECB8E4"/>
    <w:lvl w:ilvl="0" w:tplc="7CE016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01E3151"/>
    <w:multiLevelType w:val="hybridMultilevel"/>
    <w:tmpl w:val="C45459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5B3BC8"/>
    <w:multiLevelType w:val="hybridMultilevel"/>
    <w:tmpl w:val="8272EE0A"/>
    <w:lvl w:ilvl="0" w:tplc="5E20806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122086E"/>
    <w:multiLevelType w:val="hybridMultilevel"/>
    <w:tmpl w:val="55ECA4F4"/>
    <w:lvl w:ilvl="0" w:tplc="CC6602F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79E1E43"/>
    <w:multiLevelType w:val="hybridMultilevel"/>
    <w:tmpl w:val="CAF6CD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477CCD"/>
    <w:multiLevelType w:val="hybridMultilevel"/>
    <w:tmpl w:val="4EF8E1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75219D"/>
    <w:multiLevelType w:val="hybridMultilevel"/>
    <w:tmpl w:val="4502C94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87668C"/>
    <w:multiLevelType w:val="hybridMultilevel"/>
    <w:tmpl w:val="ADC611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742D5C"/>
    <w:multiLevelType w:val="hybridMultilevel"/>
    <w:tmpl w:val="D1E4B5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48B69B3"/>
    <w:multiLevelType w:val="hybridMultilevel"/>
    <w:tmpl w:val="25FC97D2"/>
    <w:lvl w:ilvl="0" w:tplc="A3240E8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7D81B28"/>
    <w:multiLevelType w:val="hybridMultilevel"/>
    <w:tmpl w:val="6D9EE416"/>
    <w:lvl w:ilvl="0" w:tplc="62BA091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CDF771D"/>
    <w:multiLevelType w:val="hybridMultilevel"/>
    <w:tmpl w:val="F9F840AA"/>
    <w:lvl w:ilvl="0" w:tplc="0F46562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762F34C2"/>
    <w:multiLevelType w:val="hybridMultilevel"/>
    <w:tmpl w:val="EF96FDA6"/>
    <w:lvl w:ilvl="0" w:tplc="3356BE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024210756">
    <w:abstractNumId w:val="4"/>
  </w:num>
  <w:num w:numId="2" w16cid:durableId="1979609421">
    <w:abstractNumId w:val="5"/>
  </w:num>
  <w:num w:numId="3" w16cid:durableId="885868923">
    <w:abstractNumId w:val="7"/>
  </w:num>
  <w:num w:numId="4" w16cid:durableId="1369378339">
    <w:abstractNumId w:val="1"/>
  </w:num>
  <w:num w:numId="5" w16cid:durableId="1643149140">
    <w:abstractNumId w:val="6"/>
  </w:num>
  <w:num w:numId="6" w16cid:durableId="649405088">
    <w:abstractNumId w:val="10"/>
  </w:num>
  <w:num w:numId="7" w16cid:durableId="1588267572">
    <w:abstractNumId w:val="9"/>
  </w:num>
  <w:num w:numId="8" w16cid:durableId="73361246">
    <w:abstractNumId w:val="11"/>
  </w:num>
  <w:num w:numId="9" w16cid:durableId="121777058">
    <w:abstractNumId w:val="0"/>
  </w:num>
  <w:num w:numId="10" w16cid:durableId="2034457423">
    <w:abstractNumId w:val="3"/>
  </w:num>
  <w:num w:numId="11" w16cid:durableId="1788574634">
    <w:abstractNumId w:val="12"/>
  </w:num>
  <w:num w:numId="12" w16cid:durableId="486939565">
    <w:abstractNumId w:val="2"/>
  </w:num>
  <w:num w:numId="13" w16cid:durableId="11985472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4DB"/>
    <w:rsid w:val="00010692"/>
    <w:rsid w:val="00037627"/>
    <w:rsid w:val="0004124C"/>
    <w:rsid w:val="00046489"/>
    <w:rsid w:val="0007759F"/>
    <w:rsid w:val="0008213F"/>
    <w:rsid w:val="00097940"/>
    <w:rsid w:val="000A68B3"/>
    <w:rsid w:val="000E5132"/>
    <w:rsid w:val="000E774A"/>
    <w:rsid w:val="000F5AEF"/>
    <w:rsid w:val="00113FAF"/>
    <w:rsid w:val="0012364A"/>
    <w:rsid w:val="00130013"/>
    <w:rsid w:val="00131885"/>
    <w:rsid w:val="00145AD9"/>
    <w:rsid w:val="00152B84"/>
    <w:rsid w:val="00156157"/>
    <w:rsid w:val="0016052A"/>
    <w:rsid w:val="001726FD"/>
    <w:rsid w:val="001861EE"/>
    <w:rsid w:val="0019112E"/>
    <w:rsid w:val="00195106"/>
    <w:rsid w:val="001A4E76"/>
    <w:rsid w:val="001B0476"/>
    <w:rsid w:val="001B64B3"/>
    <w:rsid w:val="001C3703"/>
    <w:rsid w:val="001C64B6"/>
    <w:rsid w:val="001C7645"/>
    <w:rsid w:val="001E2851"/>
    <w:rsid w:val="00213F66"/>
    <w:rsid w:val="00217E0B"/>
    <w:rsid w:val="0022106A"/>
    <w:rsid w:val="00244504"/>
    <w:rsid w:val="00257F7D"/>
    <w:rsid w:val="00264D51"/>
    <w:rsid w:val="002655C5"/>
    <w:rsid w:val="00267FE0"/>
    <w:rsid w:val="0029564C"/>
    <w:rsid w:val="002A2D33"/>
    <w:rsid w:val="002A76FF"/>
    <w:rsid w:val="002B01F5"/>
    <w:rsid w:val="002C5E12"/>
    <w:rsid w:val="002E6241"/>
    <w:rsid w:val="003163C3"/>
    <w:rsid w:val="00324317"/>
    <w:rsid w:val="00324406"/>
    <w:rsid w:val="0034524A"/>
    <w:rsid w:val="003514F0"/>
    <w:rsid w:val="003563D3"/>
    <w:rsid w:val="00370374"/>
    <w:rsid w:val="003775C3"/>
    <w:rsid w:val="003811F8"/>
    <w:rsid w:val="00382B3B"/>
    <w:rsid w:val="00384363"/>
    <w:rsid w:val="00385A6C"/>
    <w:rsid w:val="003A4B0A"/>
    <w:rsid w:val="003A5A31"/>
    <w:rsid w:val="003A7E6B"/>
    <w:rsid w:val="003B2776"/>
    <w:rsid w:val="003B601B"/>
    <w:rsid w:val="003C6FA5"/>
    <w:rsid w:val="003D14B2"/>
    <w:rsid w:val="003D4C23"/>
    <w:rsid w:val="003E5419"/>
    <w:rsid w:val="003E5918"/>
    <w:rsid w:val="003F493C"/>
    <w:rsid w:val="0041682F"/>
    <w:rsid w:val="00441057"/>
    <w:rsid w:val="00443CCC"/>
    <w:rsid w:val="00444B14"/>
    <w:rsid w:val="00461F23"/>
    <w:rsid w:val="00473A69"/>
    <w:rsid w:val="004967D3"/>
    <w:rsid w:val="004C61FF"/>
    <w:rsid w:val="004D70F2"/>
    <w:rsid w:val="004E434E"/>
    <w:rsid w:val="00506B9B"/>
    <w:rsid w:val="00520B17"/>
    <w:rsid w:val="00522C44"/>
    <w:rsid w:val="00525F7D"/>
    <w:rsid w:val="00533B31"/>
    <w:rsid w:val="00535DF5"/>
    <w:rsid w:val="005445D3"/>
    <w:rsid w:val="00564E8B"/>
    <w:rsid w:val="00572151"/>
    <w:rsid w:val="00577257"/>
    <w:rsid w:val="00582B7E"/>
    <w:rsid w:val="00590BB2"/>
    <w:rsid w:val="00592BDD"/>
    <w:rsid w:val="005B2D4A"/>
    <w:rsid w:val="005B4D2D"/>
    <w:rsid w:val="005D4492"/>
    <w:rsid w:val="005E7DF2"/>
    <w:rsid w:val="00623EF6"/>
    <w:rsid w:val="006242B1"/>
    <w:rsid w:val="00625381"/>
    <w:rsid w:val="00637AF7"/>
    <w:rsid w:val="00655A2A"/>
    <w:rsid w:val="006619F0"/>
    <w:rsid w:val="00661AFA"/>
    <w:rsid w:val="00672BCF"/>
    <w:rsid w:val="00681163"/>
    <w:rsid w:val="00686555"/>
    <w:rsid w:val="00694E2E"/>
    <w:rsid w:val="00696EC2"/>
    <w:rsid w:val="006E3698"/>
    <w:rsid w:val="006F5B76"/>
    <w:rsid w:val="00732636"/>
    <w:rsid w:val="007359E2"/>
    <w:rsid w:val="00750FD7"/>
    <w:rsid w:val="00751559"/>
    <w:rsid w:val="0076232B"/>
    <w:rsid w:val="00762352"/>
    <w:rsid w:val="007A069C"/>
    <w:rsid w:val="007B56CE"/>
    <w:rsid w:val="007B7F0E"/>
    <w:rsid w:val="007D1A8D"/>
    <w:rsid w:val="007D478B"/>
    <w:rsid w:val="007D5783"/>
    <w:rsid w:val="007E5F4C"/>
    <w:rsid w:val="007E7DB0"/>
    <w:rsid w:val="00806B73"/>
    <w:rsid w:val="00820325"/>
    <w:rsid w:val="00820A04"/>
    <w:rsid w:val="00852028"/>
    <w:rsid w:val="0085310D"/>
    <w:rsid w:val="00864C29"/>
    <w:rsid w:val="008656F2"/>
    <w:rsid w:val="00866848"/>
    <w:rsid w:val="008754ED"/>
    <w:rsid w:val="00875CF6"/>
    <w:rsid w:val="0087751D"/>
    <w:rsid w:val="008858FA"/>
    <w:rsid w:val="008A2F20"/>
    <w:rsid w:val="008B6A76"/>
    <w:rsid w:val="008B7289"/>
    <w:rsid w:val="008C245C"/>
    <w:rsid w:val="008D1EAB"/>
    <w:rsid w:val="008E14D6"/>
    <w:rsid w:val="008E15CC"/>
    <w:rsid w:val="008E50D1"/>
    <w:rsid w:val="008F522B"/>
    <w:rsid w:val="00900E6D"/>
    <w:rsid w:val="00902AF8"/>
    <w:rsid w:val="009378EB"/>
    <w:rsid w:val="00943694"/>
    <w:rsid w:val="00951483"/>
    <w:rsid w:val="009539FD"/>
    <w:rsid w:val="009609C7"/>
    <w:rsid w:val="00972B33"/>
    <w:rsid w:val="009A12F0"/>
    <w:rsid w:val="009B0BCB"/>
    <w:rsid w:val="009B440D"/>
    <w:rsid w:val="009C4799"/>
    <w:rsid w:val="009D65F2"/>
    <w:rsid w:val="009E0C6C"/>
    <w:rsid w:val="009E1407"/>
    <w:rsid w:val="00A000B8"/>
    <w:rsid w:val="00A05925"/>
    <w:rsid w:val="00A07AC7"/>
    <w:rsid w:val="00A170B6"/>
    <w:rsid w:val="00A265CB"/>
    <w:rsid w:val="00A32807"/>
    <w:rsid w:val="00A329BA"/>
    <w:rsid w:val="00A50F0D"/>
    <w:rsid w:val="00A55606"/>
    <w:rsid w:val="00A71FA0"/>
    <w:rsid w:val="00A73D98"/>
    <w:rsid w:val="00A94A62"/>
    <w:rsid w:val="00A95985"/>
    <w:rsid w:val="00AB2AE4"/>
    <w:rsid w:val="00AC4AC6"/>
    <w:rsid w:val="00AC4D3D"/>
    <w:rsid w:val="00AC7AC8"/>
    <w:rsid w:val="00AE195E"/>
    <w:rsid w:val="00AE4BC0"/>
    <w:rsid w:val="00AE5662"/>
    <w:rsid w:val="00AF1889"/>
    <w:rsid w:val="00AF5500"/>
    <w:rsid w:val="00AF55E5"/>
    <w:rsid w:val="00AF5667"/>
    <w:rsid w:val="00AF79FB"/>
    <w:rsid w:val="00B0093F"/>
    <w:rsid w:val="00B0729B"/>
    <w:rsid w:val="00B074F1"/>
    <w:rsid w:val="00B261C2"/>
    <w:rsid w:val="00B321F8"/>
    <w:rsid w:val="00B4646F"/>
    <w:rsid w:val="00B76A38"/>
    <w:rsid w:val="00B96EB7"/>
    <w:rsid w:val="00BB538D"/>
    <w:rsid w:val="00BB6D22"/>
    <w:rsid w:val="00C139E9"/>
    <w:rsid w:val="00C428BE"/>
    <w:rsid w:val="00C4675A"/>
    <w:rsid w:val="00C5191C"/>
    <w:rsid w:val="00C652EE"/>
    <w:rsid w:val="00C973F4"/>
    <w:rsid w:val="00CB2FA7"/>
    <w:rsid w:val="00CD38B3"/>
    <w:rsid w:val="00CD711F"/>
    <w:rsid w:val="00D1518F"/>
    <w:rsid w:val="00D15E35"/>
    <w:rsid w:val="00D448B6"/>
    <w:rsid w:val="00D5741B"/>
    <w:rsid w:val="00D57580"/>
    <w:rsid w:val="00D73951"/>
    <w:rsid w:val="00D94BFE"/>
    <w:rsid w:val="00DB2072"/>
    <w:rsid w:val="00DD2DC0"/>
    <w:rsid w:val="00DE2FDF"/>
    <w:rsid w:val="00DE54FF"/>
    <w:rsid w:val="00DE71C7"/>
    <w:rsid w:val="00E151EA"/>
    <w:rsid w:val="00E23245"/>
    <w:rsid w:val="00E64311"/>
    <w:rsid w:val="00E65433"/>
    <w:rsid w:val="00E91A7A"/>
    <w:rsid w:val="00EA413E"/>
    <w:rsid w:val="00EA68D5"/>
    <w:rsid w:val="00EB5C29"/>
    <w:rsid w:val="00EB718D"/>
    <w:rsid w:val="00EC471B"/>
    <w:rsid w:val="00EE132C"/>
    <w:rsid w:val="00EE1AA7"/>
    <w:rsid w:val="00EF135B"/>
    <w:rsid w:val="00EF420C"/>
    <w:rsid w:val="00F34925"/>
    <w:rsid w:val="00F81551"/>
    <w:rsid w:val="00F958B4"/>
    <w:rsid w:val="00FA0A37"/>
    <w:rsid w:val="00FA3BDC"/>
    <w:rsid w:val="00FE14DB"/>
    <w:rsid w:val="00FF13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C6823"/>
  <w15:chartTrackingRefBased/>
  <w15:docId w15:val="{9855EAA2-87A7-4F70-8CDC-3D70B8FA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1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0A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0A37"/>
  </w:style>
  <w:style w:type="paragraph" w:styleId="Footer">
    <w:name w:val="footer"/>
    <w:basedOn w:val="Normal"/>
    <w:link w:val="FooterChar"/>
    <w:uiPriority w:val="99"/>
    <w:unhideWhenUsed/>
    <w:rsid w:val="00FA0A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0A37"/>
  </w:style>
  <w:style w:type="paragraph" w:styleId="ListParagraph">
    <w:name w:val="List Paragraph"/>
    <w:basedOn w:val="Normal"/>
    <w:uiPriority w:val="34"/>
    <w:qFormat/>
    <w:rsid w:val="00F958B4"/>
    <w:pPr>
      <w:ind w:left="720"/>
      <w:contextualSpacing/>
    </w:pPr>
  </w:style>
  <w:style w:type="paragraph" w:styleId="Revision">
    <w:name w:val="Revision"/>
    <w:hidden/>
    <w:uiPriority w:val="99"/>
    <w:semiHidden/>
    <w:rsid w:val="003B60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4</Pages>
  <Words>916</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Elliott</dc:creator>
  <cp:keywords/>
  <dc:description/>
  <cp:lastModifiedBy>Chiara Rabbito</cp:lastModifiedBy>
  <cp:revision>20</cp:revision>
  <cp:lastPrinted>2023-10-06T10:53:00Z</cp:lastPrinted>
  <dcterms:created xsi:type="dcterms:W3CDTF">2024-09-11T13:18:00Z</dcterms:created>
  <dcterms:modified xsi:type="dcterms:W3CDTF">2024-09-24T09:38:00Z</dcterms:modified>
</cp:coreProperties>
</file>